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9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6"/>
        <w:gridCol w:w="1579"/>
        <w:gridCol w:w="403"/>
        <w:gridCol w:w="728"/>
        <w:gridCol w:w="1013"/>
        <w:gridCol w:w="722"/>
        <w:gridCol w:w="695"/>
        <w:gridCol w:w="595"/>
        <w:gridCol w:w="916"/>
        <w:gridCol w:w="806"/>
        <w:gridCol w:w="903"/>
        <w:gridCol w:w="1821"/>
        <w:gridCol w:w="578"/>
      </w:tblGrid>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b/>
                <w:b/>
                <w:sz w:val="20"/>
                <w:szCs w:val="20"/>
              </w:rPr>
            </w:pPr>
            <w:r>
              <w:rPr>
                <w:b/>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b/>
                <w:b/>
                <w:sz w:val="20"/>
                <w:szCs w:val="20"/>
              </w:rPr>
            </w:pPr>
            <w:r>
              <w:rPr>
                <w:rFonts w:eastAsia="" w:cs="" w:ascii="Arial" w:hAnsi="Arial"/>
                <w:b/>
                <w:kern w:val="0"/>
                <w:sz w:val="20"/>
                <w:szCs w:val="20"/>
                <w:lang w:val="ru-RU" w:eastAsia="ru-RU" w:bidi="ar-SA"/>
              </w:rPr>
              <w:t>ДОГОВОР  ПОСТАВКИ</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579"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4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2430" w:type="dxa"/>
            <w:gridSpan w:val="3"/>
            <w:tcBorders/>
            <w:shd w:color="FFFFFF" w:fill="auto" w:val="clear"/>
            <w:vAlign w:val="bottom"/>
          </w:tcPr>
          <w:p>
            <w:pPr>
              <w:pStyle w:val="Normal"/>
              <w:widowControl w:val="false"/>
              <w:suppressAutoHyphens w:val="true"/>
              <w:spacing w:lineRule="auto" w:line="240" w:before="0" w:after="0"/>
              <w:jc w:val="right"/>
              <w:rPr>
                <w:sz w:val="20"/>
                <w:szCs w:val="20"/>
              </w:rPr>
            </w:pPr>
            <w:r>
              <w:rPr>
                <w:rFonts w:eastAsia="" w:cs="" w:ascii="Arial" w:hAnsi="Arial"/>
                <w:kern w:val="0"/>
                <w:sz w:val="20"/>
                <w:szCs w:val="20"/>
                <w:lang w:val="ru-RU" w:eastAsia="ru-RU" w:bidi="ar-SA"/>
              </w:rPr>
              <w:t>строительных материалов №</w:t>
            </w:r>
          </w:p>
        </w:tc>
        <w:tc>
          <w:tcPr>
            <w:tcW w:w="1511" w:type="dxa"/>
            <w:gridSpan w:val="2"/>
            <w:tcBorders>
              <w:bottom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80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821"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579"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4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2"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6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1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80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821"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982" w:type="dxa"/>
            <w:gridSpan w:val="2"/>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г. Санкт-Петербург</w:t>
            </w:r>
          </w:p>
        </w:tc>
        <w:tc>
          <w:tcPr>
            <w:tcW w:w="72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2"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6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1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80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821" w:type="dxa"/>
            <w:tcBorders/>
            <w:shd w:color="FFFFFF" w:fill="auto" w:val="clear"/>
            <w:vAlign w:val="bottom"/>
          </w:tcPr>
          <w:p>
            <w:pPr>
              <w:pStyle w:val="Normal"/>
              <w:widowControl w:val="false"/>
              <w:suppressAutoHyphens w:val="true"/>
              <w:spacing w:lineRule="auto" w:line="240" w:before="0" w:after="0"/>
              <w:jc w:val="right"/>
              <w:rPr>
                <w:sz w:val="20"/>
                <w:szCs w:val="20"/>
              </w:rPr>
            </w:pPr>
            <w:r>
              <w:rPr>
                <w:rFonts w:eastAsia="" w:cs="" w:ascii="Arial" w:hAnsi="Arial"/>
                <w:kern w:val="0"/>
                <w:sz w:val="20"/>
                <w:szCs w:val="20"/>
                <w:lang w:val="ru-RU" w:eastAsia="ru-RU" w:bidi="ar-SA"/>
              </w:rPr>
              <w:t>«__» ______202_</w:t>
            </w:r>
            <w:bookmarkStart w:id="0" w:name="_GoBack"/>
            <w:bookmarkEnd w:id="0"/>
            <w:r>
              <w:rPr>
                <w:rFonts w:eastAsia="" w:cs="" w:ascii="Arial" w:hAnsi="Arial"/>
                <w:kern w:val="0"/>
                <w:sz w:val="20"/>
                <w:szCs w:val="20"/>
                <w:lang w:val="ru-RU" w:eastAsia="ru-RU" w:bidi="ar-SA"/>
              </w:rPr>
              <w:t xml:space="preserve"> г.</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45"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579"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4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722"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6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95"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1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80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903"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821"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 xml:space="preserve">          </w:t>
            </w:r>
            <w:r>
              <w:rPr>
                <w:rFonts w:eastAsia="" w:cs="" w:ascii="Arial" w:hAnsi="Arial"/>
                <w:kern w:val="0"/>
                <w:sz w:val="20"/>
                <w:szCs w:val="20"/>
                <w:lang w:val="ru-RU" w:eastAsia="ru-RU" w:bidi="ar-SA"/>
              </w:rPr>
              <w:t>Общество с ограниченной ответственностью «Строительный Торговый Дом СТРОЙУДАЧА», именуемое в дальнейшем "Поставщик", в лице Генерального директора Скорлупкина В.Г., действующего на основании Устава, с одной стороны и _____________________________________________ именуемое в дальнейшем "Покупатель", в лице _____________________________________________________ действующего на основании _________________, с другой стороны (далее - "Стороны") заключили настоящий Договор о нижеследующем.</w:t>
            </w:r>
          </w:p>
        </w:tc>
        <w:tc>
          <w:tcPr>
            <w:tcW w:w="578"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 ПРЕДМЕТ ДОГОВОРА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1.1.    Поставщик обязуется передать, а Покупатель - принять и оплатить строительные материалы (далее по тексту «товар»), наименование, цена, количество, номенклатура (ассортимент) которого будут определяться Сторонами в накладных и счетах-фактурах (или универсальном передаточном документе (УПД), являющихся неотъемлемыми частями настоящего Договора.</w:t>
              <w:br/>
              <w:t>1.2.     Общая цена (сумма) Договора определяется как общая сумма всего поставленного Покупателю Товара за весь период действия договора.</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2. КАЧЕСТВО И КОМПЛЕКТНОСТЬ</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vMerge w:val="restart"/>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2.1. Поставщик гарантирует, что качество поставляемого товара соответствует требованиям стандартов и технических условий, установленных в РФ, товар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их в оптовой и розничной торговле на территории РФ.</w:t>
              <w:br/>
              <w:t>2.2. На все виды поставленного товара Поставщик предоставляет Покупателю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Покупателю по требованию при заключении Договора или передаче товара.</w:t>
              <w:br/>
              <w:t>2.3. Количество товара, передаваемого Покупателю,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и последующей продаже.</w:t>
              <w:br/>
              <w:t>2.4. Приемка товара по количеству, ассортименту и качеству (видимые дефекты) производится при подписании товарной накладной (УПД).</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vMerge w:val="continue"/>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vMerge w:val="continue"/>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vMerge w:val="continue"/>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3. ЗАЯВКА ПОКУПАТЕЛЯ</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3.1. Покупатель передает Поставщику заявку в устной или письменной форме на приобретение товара в любой рабочий день в течение действия настоящего договора.</w:t>
              <w:br/>
              <w:t>3.2. Заявка считается принятой после согласования Сторонами количества, ассортимента, цены и сроков поставки товара. На основании заявки Поставщик выставляет Покупателю счет для оплаты товара.</w:t>
              <w:br/>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4. УСЛОВИЯ ПЕРЕДАЧИ ТОВАРА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4.1. Товар поставляется Покупателю партиями по ценам, наименованиям, в количестве и ассортименте, соответствующих указанным в накладных и счетах-фактурах (или универсальном передаточном документе (УПД)) к настоящему Договору. Периодичность поставок партий товара в течение срока действия настоящего Договора, количество и ассортимент каждой партии определяются по письменному согласованию Сторон с учетом потребностей Покупателя и наличия на складе Поставщика необходимого товара.</w:t>
              <w:br/>
              <w:t>4.2. Поставка товара на склад Покупателя, расположенный по адресу:    осуществляется по согласованию сторон одним из следующих способов:</w:t>
              <w:br/>
              <w:t>- Транспортом Покупателя путем вывоза партии Товара со склада Поставщика.</w:t>
              <w:br/>
              <w:t>- Транспортом Поставщика (за счет Покупателя) по адресу согласованному сторонами.</w:t>
              <w:br/>
              <w:t>При осуществлении доставки товара транспортном Поставщика стоимость доставки рассчитывается и указывается в документах отдельно.</w:t>
              <w:br/>
              <w:t>4.3. Датой поставки партии товара считается дата приемки товара Покупателем и подписания Сторонами товарных накладных (или УПД).</w:t>
              <w:br/>
              <w:t>4.4. В случае, когда при визуальном осмотре и подсчете товара в процессе его приема-передачи будут обнаружены брак и/или недостача товара, Покупатель обязан сделать отметки об этом в накладной (или УПД), а также составить акт о браке/недостаче в 2-х экземплярах.</w:t>
              <w:br/>
              <w:t>4.5. Поставщик вправе засчитать стоимость бракованного и/или не поставленного товара в счет оплаты последующего заказа при наличии правильно и своевременно оформленного акта о браке/недостаче путем вычета суммы по акту о браке/недостаче из общей суммы (цены) последующего заказа Покупателя.</w:t>
              <w:br/>
              <w:t>4.6. Покупатель в случае обнаружения некачественного Товара (скрытых недостатков) обязан немедленно, но не позднее трех календарных дней с момента обнаружения соответствующих недостатков, уведомить об этом Поставщика путем направления факса или телеграммы с уведомлением. Покупатель имеет право предъявить Поставщику документально обоснованную претензию на поставленный Товар по скрытым дефектам не позднее 3 (трех) календарных дней с даты поставки. По истечении указанного в настоящем пункте срока, претензии по скрытым дефектам не принимаются. Уполномоченный представитель Поставщика  вправе прибыть для осмотра Товара и составления двустороннего акта течение 24 часов с момента получения уведомления (без учета выходных дней).</w:t>
              <w:br/>
              <w:t>4.7. Моментом исполнения Поставщиком обязательств по поставке Товара, а также моментом перехода прав собственности и рисков случайной гибели или случайного повреждения Товара считается момент его фактической передачи Покупателю на складе Покупателя при доставке силами Поставщика, либо на складе Поставщика при самовывозе, т.е. с момента подписания Покупателем (уполномоченным Грузополучателем) документов о приеме Товара.</w:t>
              <w:br/>
              <w:t>4.8. Уполномоченным Грузополучателем  (представителем Покупателя)  является лицо, имеющее право действовать от имени организации без доверенности, либо лицо, которому выдана доверенность от имени организации на право получения Товара и подписи товаросопроводительных документов.</w:t>
              <w:br/>
              <w:t>4.9. Отгрузка Товара производится только при подтверждении Представителем Покупателя права на совершение действий по приемке товара и подписи товаросопроводительных документов. В случае не предоставления оригинала доверенности представителем Покупателя отгрузка не производится, а размер стоимости повторной доставки (в случае осуществления доставки транспортом Продавца) оплачивает  Покупатель.</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5. ПЕРЕХОД ПРАВА СОБСТВЕННОСТИ И РИСКОВ</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5.1. Риск случайной гибели или порчи товара переходит от Поставщика к Покупателю с момента приемки товара Покупателем и подписания Сторонами товарных накладных (УПД).</w:t>
              <w:br/>
              <w:t>5.2. Право собственности на товар переходит от Поставщика к Покупателю с момента подписания Сторонами товарных накладных (УПД).</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6. ЦЕНА ТОВАРА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6.1. Цена товара устанавливается в валюте РФ и указывается в накладных (или универсальных передаточных документах (УПД), являющихся неотъемлемыми частями настоящего Договора.</w:t>
              <w:br/>
              <w:t>6.2. При оформлении покупателем заказа (спецификации)  товара, цены фиксируются на срок 5 рабочих дней, включая день оформления заказа (спецификации).</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7. ПОРЯДОК РАСЧЕТОВ</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7.1 Товар поставляется Покупателю на условиях 100% предоплаты в течение 5 (пяти) рабочих дней с момента выставления счета.</w:t>
              <w:br/>
              <w:t>7.2. Предоплата может быть произведена Покупателем без выставления счета в форме авансового платежа в сумме, согласованной Сторонами. В этом случае основанием для оплаты является настоящий договор, а отгрузка товара производится в ценах, действующих на момент отгрузки.</w:t>
              <w:br/>
              <w:t>7.3. Поставщик поставляет Покупателю очередную партию товара только при условии соблюдения п.7.1.,7.2  данного Договора.</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7.4. Обязательства Покупателя по оплате считается исполненным после зачисления денежных средств на расчетный счет Поставщика.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7.5.   В случае отсутствия поступления денежных средств в оплату стоимости заказанного товара  в сумме и сроки, указанные в п.7.1. настоящего Договора заявка аннулируется. В случае оплаты Покупателем аннулированной заявки по прошествии 5 рабочих дней с момента выставления счета Поставщик оставляет за собой право произвести полный перерасчет заказа в день получения оплаты с применением цен, действующих на момент пересчета.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7.6.   В случае отсутствия на складе необходимого товара, Покупатель вправе выбрать другой товар со склада Поставщика, в размере не превышающей сумму предварительной оплаты за товар, не переданный поставщиком, либо потребовать возврата суммы предварительной оплаты за товар, не переданный Поставщиком. При этом проценты на сумму предварительной оплаты по ст. 395, ст. 317.1 ГК РФ не начисляются.</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7.7.  Поставщик вправе зачесть денежные средства, перечисленные Покупателем в качестве оплаты по настоящему Договору, независимо от назначения платежа, указанного в платежных документах, в счет погашения задолженности по настоящему договору, исходя из очередности возникновения задолженности по поставкам Товара.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7.8. ОСОБЫЕ  УСЛОВИЯ  ПОСТАВКИ</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321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7.8.1. Поставка заказанного товара (товара, отсутствующего на складах поставщика и поставляемой исключительно в объеме нужд и по заявке Покупателя) производится на основании письменно оформленной и подписанной уполномоченными лицами Покупателя Спецификации (Спецификация на заказную продукцию).</w:t>
              <w:br/>
              <w:t>7.8.2. В Спецификации на заказную продукцию могут быть указаны индивидуальные условия предоплаты в размере, согласованном Сторонами.</w:t>
              <w:br/>
              <w:t>7.8.3. Покупатель имеет право в одностороннем порядке отказаться от получения продукции, поставляемой по подписанной сторонами Спецификации на заказную продукцию только при условии полного возмещения убытков Поставщика, связанных с исполнением подтвержденного заказа в размере суммы счета, выставленного Покупателю при подписании Спецификации на заказанную продукцию.</w:t>
            </w:r>
          </w:p>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7.8.4. При условии поставки Товара транспортом Покупателя путем самовывоза Товара, Покупатель обязан вывезти Товар со склада Поставщика не позднее 5 (пяти) рабочих дней с момента оплаты Товара Поставщику. Далее Товар считается принятым на ответственное хранение с начислением платы за данную услугу.</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8. ОБЯЗАННОСТИ СТОРОН</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8.1. Покупатель обязан принять и оплатить товар согласно условиям настоящего Договора.</w:t>
              <w:br/>
              <w:t>8.2. Поставщик обязан передать Покупателю товар на условиях настоящего договора при наличии данного Товара на складе Поставщика.</w:t>
              <w:br/>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9. ОТВЕТСТВЕННОСТЬ СТОРОН</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9.1. Поставщик несет ответственность за качество передаваемого товара, подлинность сертификатов соответствия и гигиенических заключений на товар.</w:t>
              <w:br/>
              <w:t>9.2. Законные проценты на сумму долга за период пользования денежными средствами по любому обязательству каждой из Сторон в соответствии со ст. 317.1 Гражданского кодекса РФ не начисляются и не подлежат к уплате противоположной Стороне по Договору.</w:t>
            </w:r>
          </w:p>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9.3. В</w:t>
            </w:r>
            <w:r>
              <w:rPr>
                <w:rFonts w:eastAsia="" w:cs="" w:ascii="Arial" w:hAnsi="Arial"/>
                <w:color w:val="000000"/>
                <w:kern w:val="0"/>
                <w:sz w:val="20"/>
                <w:szCs w:val="20"/>
                <w:shd w:fill="FFFFFF" w:val="clear"/>
                <w:lang w:val="ru-RU" w:eastAsia="ru-RU" w:bidi="ar-SA"/>
              </w:rPr>
              <w:t xml:space="preserve"> случае нарушения Покупателем сроков самовывоза Товара со склада Поставщика, Покупатель оплачивает Поставщику услугу ответственного хранения Товара в размере 0,4% от стоимости Товара за один день хранения (за каждый день просрочки самовывоза), включая день отгрузки Товара. Поставщик в письменном виде выставляет требования об уплате «Услуг по хранению товара». Доплата осуществляется путем внесения указанной суммы  на расчетный счет Поставщика за «Услуги по хранению товара» в течение 5 (пяти) рабочих дней с момента получения требования от Покупателя об уплате по электронной почте и/или посредством заказного письма. Оплата услуги ответственного хранения производится до получения Товара. Поставщик вправе удержать плату за услугу ответственного хранения из любых сумм денежных средств, поступивших от Покупателя, в том числе и по иным договорам, заключенным с Поставщиком.</w:t>
            </w:r>
            <w:r>
              <w:rPr>
                <w:rFonts w:eastAsia="" w:cs="" w:ascii="Arial" w:hAnsi="Arial"/>
                <w:kern w:val="0"/>
                <w:sz w:val="20"/>
                <w:szCs w:val="20"/>
                <w:lang w:val="ru-RU" w:eastAsia="ru-RU" w:bidi="ar-SA"/>
              </w:rPr>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10. ОБСТОЯТЕЛЬСТВА НЕПРЕОДОЛИМОЙ СИЛЫ</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10.1.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br/>
              <w:t>10.2.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b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11. ПРЕКРАЩЕНИЕ ДЕЙСТВИЯ ДОГОВОРА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11.1. Настоящий Договор может быть расторгнут по письменному соглашению Сторон.</w:t>
              <w:br/>
              <w:t>11.2. Если одна из Сторон сочтет, что ввиду несоблюдения договорных обязательств или ненадлежащего их исполнения другой Стороной возникают препятствия к дальнейшему исполнению Договора, то она обязана отправить письменное сообщение другой Стороне, в котором указываются причины, побуждающие к расторжению Договора.</w:t>
              <w:br/>
              <w:t>11.3. Сторона, получившая такое сообщение, обязана в течение 14 (Четырнадцати) дней изложить в письменной форме свои позиции и предложения. Если, исходя из обусловленных позиций Стороны, нельзя надеяться на устранение возникших трудностей либо если исполнение Договора нельзя продолжить в течение 14 (Четырнадцати) дней, то обе Стороны вправе расторгнуть Договор в течение 14 дней со дня письменного уведомления, указанного в п. 11.2 настоящего Договора</w:t>
              <w:br/>
              <w:t>1.4. В случае расторжения Договора по основаниям предшествующих пунктов настоящей статьи обязаны рассчитаться по своим обязательствам, возникшим до дня расторжения Договора.</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12. РАЗРЕШЕНИЕ СПОРОВ</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12.1. Все споры и разногласия, которые могут возникнуть из настоящего Договора или в связи с ним, разрешаются путем переговоров, а при не достижении согласия – в Арбитражном суде города Санкт-Петербурга и Ленинградской области. Общий срок рассмотрения претензий составляет 10 (десять) календарных дней с момента получения.</w:t>
              <w:br/>
              <w:t>12.2. Надлежащим уведомлением/ответом считается уведомление/ответ, отправленное любым из следующих способов: заказным письмом с уведомлением о вручении, курьерской службой с уведомлением о вручении, по реквизитам,  указанным в разделе 16 настоящего договора. Момент получения Уведомления Сторонами определяется в любом случае не позднее 10 дней с момента отправки его почтовым письмом с уведомлением о получении по адресам, указанным в п.16. Договора, либо датой вручения уполномоченному представителю стороны.</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13. СРОК ДЕЙСТВИЯ ДОГОВОРА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both"/>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13.1. Настоящий Договор вступает в силу с момента его подписания и действует до ______________   включительно.</w:t>
              <w:br/>
              <w:t>13.2.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исполнения ими обязательств по настоящему Договору или до расторжения настоящего Договора.</w:t>
              <w:br/>
              <w:t>13.3. Срок действия Договора продлевается на один календарный год, если по окончании его действия не поступит уведомления от одной из Сторон о его прекращении, количество пролонгаций не ограничено.</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center"/>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14. ИЗМЕНЕНИЯ И ДОПОЛНЕНИЯ ДОГОВОРА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14.1. Изменения и дополнения Договора совершаются только в письменной форме в виде приложений к настоящему Договору и подлежат подписанию обеими Сторонами. Приложения к настоящему Договору являются неотъемлемыми частями настоящего Договора.</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15. ЗАКЛЮЧИТЕЛЬНЫЕ ПОЛОЖЕНИЯ</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both"/>
              <w:rPr>
                <w:sz w:val="20"/>
                <w:szCs w:val="20"/>
              </w:rPr>
            </w:pPr>
            <w:r>
              <w:rPr>
                <w:rFonts w:eastAsia="" w:cs="" w:ascii="Arial" w:hAnsi="Arial"/>
                <w:kern w:val="0"/>
                <w:sz w:val="20"/>
                <w:szCs w:val="20"/>
                <w:lang w:val="ru-RU" w:eastAsia="ru-RU" w:bidi="ar-SA"/>
              </w:rPr>
              <w:t>15.1. Во всем остальном, что не предусмотрено настоящим Договором, Стороны руководствуются действующим законодательством РФ.</w:t>
              <w:br/>
              <w:t>15.2. Настоящий Договор составлен в двух экземплярах, имеющих одинаковую юридическую силу, по одному для каждой из Сторон.</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0181" w:type="dxa"/>
            <w:gridSpan w:val="11"/>
            <w:tcBorders/>
            <w:shd w:color="FFFFFF" w:fill="auto" w:val="clear"/>
            <w:vAlign w:val="bottom"/>
          </w:tcPr>
          <w:p>
            <w:pPr>
              <w:pStyle w:val="Normal"/>
              <w:widowControl w:val="false"/>
              <w:suppressAutoHyphens w:val="true"/>
              <w:spacing w:lineRule="auto" w:line="240" w:before="0" w:after="0"/>
              <w:jc w:val="center"/>
              <w:rPr>
                <w:sz w:val="20"/>
                <w:szCs w:val="20"/>
              </w:rPr>
            </w:pPr>
            <w:r>
              <w:rPr>
                <w:rFonts w:eastAsia="" w:cs="" w:ascii="Arial" w:hAnsi="Arial"/>
                <w:kern w:val="0"/>
                <w:sz w:val="20"/>
                <w:szCs w:val="20"/>
                <w:lang w:val="ru-RU" w:eastAsia="ru-RU" w:bidi="ar-SA"/>
              </w:rPr>
              <w:t>16. АДРЕСА И БАНКОВСКИЕ РЕКВИЗИТЫ СТОРОН</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1579"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rFonts w:eastAsia="" w:cs="" w:ascii="Arial" w:hAnsi="Arial"/>
                <w:b/>
                <w:kern w:val="0"/>
                <w:sz w:val="20"/>
                <w:szCs w:val="20"/>
                <w:lang w:val="ru-RU" w:eastAsia="ru-RU" w:bidi="ar-SA"/>
              </w:rPr>
              <w:t>Поставщи</w:t>
            </w:r>
            <w:r>
              <w:rPr>
                <w:rFonts w:eastAsia="" w:cs="" w:ascii="Arial" w:hAnsi="Arial"/>
                <w:b/>
                <w:kern w:val="0"/>
                <w:sz w:val="20"/>
                <w:szCs w:val="20"/>
                <w:lang w:val="ru-RU" w:eastAsia="ru-RU" w:bidi="ar-SA"/>
              </w:rPr>
              <w:t>к</w:t>
            </w:r>
            <w:r>
              <w:rPr>
                <w:rFonts w:eastAsia="" w:cs="" w:ascii="Arial" w:hAnsi="Arial"/>
                <w:b/>
                <w:kern w:val="0"/>
                <w:sz w:val="20"/>
                <w:szCs w:val="20"/>
                <w:lang w:val="ru-RU" w:eastAsia="ru-RU" w:bidi="ar-SA"/>
              </w:rPr>
              <w:t>:</w:t>
            </w:r>
          </w:p>
        </w:tc>
        <w:tc>
          <w:tcPr>
            <w:tcW w:w="403"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728"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1013"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722"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695"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595" w:type="dxa"/>
            <w:tcBorders/>
            <w:shd w:color="FFFFFF" w:fill="auto" w:val="clear"/>
            <w:vAlign w:val="bottom"/>
          </w:tcPr>
          <w:p>
            <w:pPr>
              <w:pStyle w:val="Normal"/>
              <w:widowControl w:val="false"/>
              <w:suppressAutoHyphens w:val="true"/>
              <w:spacing w:lineRule="auto" w:line="240" w:before="0" w:after="0"/>
              <w:jc w:val="left"/>
              <w:rPr>
                <w:b/>
                <w:b/>
                <w:sz w:val="20"/>
                <w:szCs w:val="20"/>
              </w:rPr>
            </w:pPr>
            <w:r>
              <w:rPr>
                <w:b/>
                <w:sz w:val="20"/>
                <w:szCs w:val="20"/>
              </w:rPr>
            </w:r>
          </w:p>
        </w:tc>
        <w:tc>
          <w:tcPr>
            <w:tcW w:w="4446" w:type="dxa"/>
            <w:gridSpan w:val="4"/>
            <w:tcBorders/>
            <w:shd w:color="FFFFFF" w:fill="auto" w:val="clear"/>
            <w:vAlign w:val="bottom"/>
          </w:tcPr>
          <w:p>
            <w:pPr>
              <w:pStyle w:val="Normal"/>
              <w:widowControl w:val="false"/>
              <w:suppressAutoHyphens w:val="true"/>
              <w:spacing w:lineRule="auto" w:line="240" w:before="0" w:after="0"/>
              <w:jc w:val="left"/>
              <w:rPr>
                <w:b/>
                <w:b/>
                <w:sz w:val="20"/>
                <w:szCs w:val="20"/>
              </w:rPr>
            </w:pPr>
            <w:r>
              <w:rPr>
                <w:rFonts w:eastAsia="" w:cs="" w:ascii="Arial" w:hAnsi="Arial"/>
                <w:b/>
                <w:kern w:val="0"/>
                <w:sz w:val="20"/>
                <w:szCs w:val="20"/>
                <w:lang w:val="ru-RU" w:eastAsia="ru-RU" w:bidi="ar-SA"/>
              </w:rPr>
              <w:t>Покупатель:</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tcBorders>
              <w:top w:val="single" w:sz="4" w:space="0" w:color="000000"/>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ООО "Строительный Торговый Дом СТРОЙУДАЧА"</w:t>
            </w:r>
          </w:p>
        </w:tc>
        <w:tc>
          <w:tcPr>
            <w:tcW w:w="4446" w:type="dxa"/>
            <w:gridSpan w:val="4"/>
            <w:tcBorders>
              <w:top w:val="single" w:sz="4" w:space="0" w:color="000000"/>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tcBorders>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Юр. адрес: 194044, Санкт-Петербург г, Гельсингфорсская ул, дом № 4, корпус 1, литера В, пом 15Н, оф.37, тел. (812)6077473</w:t>
              <w:br/>
              <w:t>Почтовый адрес: 188516, Ленинградская область, Ломоносовский район, д. Телези, д. 1</w:t>
            </w:r>
          </w:p>
        </w:tc>
        <w:tc>
          <w:tcPr>
            <w:tcW w:w="4446" w:type="dxa"/>
            <w:gridSpan w:val="4"/>
            <w:tcBorders>
              <w:left w:val="single" w:sz="4" w:space="0" w:color="000000"/>
              <w:right w:val="single" w:sz="4" w:space="0" w:color="000000"/>
            </w:tcBorders>
            <w:shd w:color="FFFFFF" w:fill="auto" w:val="clear"/>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Юр. адрес:</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tcBorders>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ИНН 7842151733, КПП 780201001,</w:t>
              <w:br/>
              <w:t>ОГРН 1187847116071</w:t>
            </w:r>
          </w:p>
        </w:tc>
        <w:tc>
          <w:tcPr>
            <w:tcW w:w="4446" w:type="dxa"/>
            <w:gridSpan w:val="4"/>
            <w:tcBorders>
              <w:left w:val="single" w:sz="4" w:space="0" w:color="000000"/>
              <w:right w:val="single" w:sz="4" w:space="0" w:color="000000"/>
            </w:tcBorders>
            <w:shd w:color="FFFFFF" w:fill="auto" w:val="clear"/>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ИНН , КПП</w:t>
              <w:br/>
              <w:t>ОГРН</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tcBorders>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Р/счет 40702810755000000108 в в Северо-Западном Банке ПАО СБЕРБАНК, г. СПб к/с 30101810500000000653, БИК 044030653, или                                                         Р/счет 40702810190450001446 в ПАО «Банк «Санкт-Петербург» К/счет 30101810900000000790 БИК 044030790</w:t>
            </w:r>
          </w:p>
        </w:tc>
        <w:tc>
          <w:tcPr>
            <w:tcW w:w="4446" w:type="dxa"/>
            <w:gridSpan w:val="4"/>
            <w:tcBorders>
              <w:left w:val="single" w:sz="4" w:space="0" w:color="000000"/>
              <w:right w:val="single" w:sz="4" w:space="0" w:color="000000"/>
            </w:tcBorders>
            <w:shd w:color="FFFFFF" w:fill="auto" w:val="clear"/>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Р/счет: ,  в , БИК , к/с</w:t>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vMerge w:val="restart"/>
            <w:tcBorders>
              <w:left w:val="single" w:sz="4" w:space="0" w:color="000000"/>
              <w:bottom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t>Генеральный директор</w:t>
              <w:br/>
              <w:t>ООО «Строительный Торговый Дом СТРОЙУДАЧА»</w:t>
              <w:br/>
              <w:t>________________________ Скорлупкин В.Г.</w:t>
              <w:br/>
            </w:r>
          </w:p>
        </w:tc>
        <w:tc>
          <w:tcPr>
            <w:tcW w:w="4446" w:type="dxa"/>
            <w:gridSpan w:val="4"/>
            <w:tcBorders>
              <w:top w:val="single" w:sz="4" w:space="0" w:color="000000"/>
              <w:left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r>
        <w:trPr>
          <w:trHeight w:val="60" w:hRule="atLeast"/>
        </w:trPr>
        <w:tc>
          <w:tcPr>
            <w:tcW w:w="236"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5735" w:type="dxa"/>
            <w:gridSpan w:val="7"/>
            <w:vMerge w:val="continue"/>
            <w:tcBorders>
              <w:left w:val="single" w:sz="4" w:space="0" w:color="000000"/>
              <w:bottom w:val="single" w:sz="4" w:space="0" w:color="000000"/>
              <w:right w:val="single" w:sz="4" w:space="0" w:color="000000"/>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c>
          <w:tcPr>
            <w:tcW w:w="4446" w:type="dxa"/>
            <w:gridSpan w:val="4"/>
            <w:tcBorders>
              <w:left w:val="single" w:sz="4" w:space="0" w:color="000000"/>
              <w:bottom w:val="single" w:sz="4" w:space="0" w:color="000000"/>
              <w:right w:val="single" w:sz="4" w:space="0" w:color="000000"/>
            </w:tcBorders>
            <w:shd w:color="FFFFFF" w:fill="auto" w:val="clear"/>
          </w:tcPr>
          <w:p>
            <w:pPr>
              <w:pStyle w:val="Normal"/>
              <w:widowControl w:val="false"/>
              <w:suppressAutoHyphens w:val="true"/>
              <w:spacing w:lineRule="auto" w:line="240" w:before="0" w:after="0"/>
              <w:jc w:val="left"/>
              <w:rPr>
                <w:sz w:val="20"/>
                <w:szCs w:val="20"/>
              </w:rPr>
            </w:pPr>
            <w:r>
              <w:rPr>
                <w:rFonts w:eastAsia="" w:cs="" w:ascii="Arial" w:hAnsi="Arial"/>
                <w:kern w:val="0"/>
                <w:sz w:val="20"/>
                <w:szCs w:val="20"/>
                <w:lang w:val="ru-RU" w:eastAsia="ru-RU" w:bidi="ar-SA"/>
              </w:rPr>
              <w:br/>
              <w:t>________________________</w:t>
              <w:br/>
            </w:r>
          </w:p>
        </w:tc>
        <w:tc>
          <w:tcPr>
            <w:tcW w:w="578" w:type="dxa"/>
            <w:tcBorders/>
            <w:shd w:color="FFFFFF" w:fill="auto" w:val="clear"/>
            <w:vAlign w:val="bottom"/>
          </w:tcPr>
          <w:p>
            <w:pPr>
              <w:pStyle w:val="Normal"/>
              <w:widowControl w:val="false"/>
              <w:suppressAutoHyphens w:val="true"/>
              <w:spacing w:lineRule="auto" w:line="240" w:before="0" w:after="0"/>
              <w:jc w:val="left"/>
              <w:rPr>
                <w:sz w:val="20"/>
                <w:szCs w:val="20"/>
              </w:rPr>
            </w:pPr>
            <w:r>
              <w:rPr>
                <w:sz w:val="20"/>
                <w:szCs w:val="20"/>
              </w:rPr>
            </w:r>
          </w:p>
        </w:tc>
      </w:tr>
    </w:tbl>
    <w:p>
      <w:pPr>
        <w:pStyle w:val="Normal"/>
        <w:widowControl/>
        <w:bidi w:val="0"/>
        <w:spacing w:lineRule="auto" w:line="276" w:before="0" w:after="200"/>
        <w:jc w:val="left"/>
        <w:rPr/>
      </w:pPr>
      <w:r>
        <w:rPr/>
      </w:r>
    </w:p>
    <w:sectPr>
      <w:footerReference w:type="default" r:id="rId2"/>
      <w:type w:val="nextPage"/>
      <w:pgSz w:w="11906" w:h="16838"/>
      <w:pgMar w:left="567" w:right="567" w:gutter="0" w:header="0" w:top="567"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Obj>
      <w:id w:val="1664689024"/>
    </w:sdtPr>
    <w:sdtContent>
      <w:p>
        <w:pPr>
          <w:pStyle w:val="Normal"/>
          <w:jc w:val="left"/>
          <w:rPr>
            <w:highlight w:val="none"/>
            <w:shd w:fill="auto" w:val="clear"/>
          </w:rPr>
        </w:pPr>
        <w:r>
          <w:rPr>
            <w:rFonts w:ascii="Arial" w:hAnsi="Arial"/>
            <w:sz w:val="20"/>
            <w:shd w:fill="auto" w:val="clear"/>
          </w:rPr>
          <w:t>Поставщик:_____________________</w:t>
          <w:tab/>
          <w:tab/>
          <w:tab/>
          <w:tab/>
          <w:tab/>
          <w:tab/>
          <w:t>Покупатель:____________________</w:t>
        </w:r>
      </w:p>
    </w:sdtContent>
  </w:sdt>
  <w:p>
    <w:pPr>
      <w:pStyle w:val="Normal"/>
      <w:spacing w:before="0" w:after="20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e7638"/>
    <w:rPr>
      <w:b/>
      <w:bCs/>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Колонтитул"/>
    <w:basedOn w:val="Normal"/>
    <w:qFormat/>
    <w:pPr/>
    <w:rPr/>
  </w:style>
  <w:style w:type="paragraph" w:styleId="Style20">
    <w:name w:val="Footer"/>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Style0">
    <w:name w:val="TableStyle0"/>
    <w:pPr>
      <w:spacing w:after="0" w:line="240" w:lineRule="auto"/>
    </w:pPr>
    <w:rPr>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4</Pages>
  <Words>1983</Words>
  <Characters>13837</Characters>
  <CharactersWithSpaces>15887</CharactersWithSpaces>
  <Paragraphs>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2021-08-30T16:17:00Z</dcterms:created>
  <dc:creator>ulyana</dc:creator>
  <dc:description/>
  <dc:language>ru-RU</dc:language>
  <cp:lastModifiedBy/>
  <dcterms:modified xsi:type="dcterms:W3CDTF">2025-01-14T16:02:55Z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